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FA" w:rsidRDefault="009D4893">
      <w:r>
        <w:rPr>
          <w:b/>
          <w:bCs/>
          <w:color w:val="000000"/>
        </w:rPr>
        <w:t xml:space="preserve">REISERICHTLINIEN - </w:t>
      </w:r>
      <w:r w:rsidRPr="00980A07">
        <w:rPr>
          <w:b/>
          <w:bCs/>
          <w:color w:val="000000"/>
          <w:lang w:val="de-DE"/>
        </w:rPr>
        <w:t>ECOLOGISTAS EN ACCIÓN</w:t>
      </w:r>
      <w:r w:rsidRPr="00980A07">
        <w:rPr>
          <w:color w:val="000000"/>
          <w:lang w:val="de-DE"/>
        </w:rPr>
        <w:br/>
      </w:r>
      <w:r w:rsidRPr="00980A07">
        <w:rPr>
          <w:color w:val="000000"/>
          <w:lang w:val="de-DE"/>
        </w:rPr>
        <w:br/>
      </w:r>
      <w:r w:rsidRPr="00980A07">
        <w:rPr>
          <w:b/>
          <w:bCs/>
          <w:color w:val="000000"/>
          <w:lang w:val="de-DE"/>
        </w:rPr>
        <w:t>Geltungsbereich</w:t>
      </w:r>
      <w:r w:rsidRPr="00980A07">
        <w:rPr>
          <w:color w:val="000000"/>
          <w:lang w:val="de-DE"/>
        </w:rPr>
        <w:br/>
      </w:r>
      <w:r w:rsidRPr="00980A07">
        <w:rPr>
          <w:color w:val="000000"/>
          <w:lang w:val="de-DE"/>
        </w:rPr>
        <w:br/>
        <w:t xml:space="preserve">Diese Reiserichtlinie gilt für alle Reisen, die von Personen, die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angehören (Angestellte, Mitarbeiter, Aktivisten usw.) als Vertreter der Organisation oder zur Teilnahme an </w:t>
      </w:r>
      <w:r w:rsidRPr="00980A07">
        <w:rPr>
          <w:color w:val="000000"/>
          <w:lang w:val="de-DE"/>
        </w:rPr>
        <w:t>von der Organisation oder anderen Einrichtungen organisierten Aktivitäten unternommen werden.</w:t>
      </w:r>
      <w:r w:rsidRPr="00980A07">
        <w:rPr>
          <w:color w:val="000000"/>
          <w:lang w:val="de-DE"/>
        </w:rPr>
        <w:br/>
        <w:t xml:space="preserve"> </w:t>
      </w:r>
      <w:r w:rsidRPr="00980A07">
        <w:rPr>
          <w:color w:val="000000"/>
          <w:lang w:val="de-DE"/>
        </w:rPr>
        <w:br/>
      </w:r>
      <w:r w:rsidRPr="00980A07">
        <w:rPr>
          <w:color w:val="000000"/>
          <w:lang w:val="de-DE"/>
        </w:rPr>
        <w:br/>
      </w:r>
      <w:r w:rsidRPr="00980A07">
        <w:rPr>
          <w:b/>
          <w:bCs/>
          <w:color w:val="000000"/>
          <w:lang w:val="de-DE"/>
        </w:rPr>
        <w:t xml:space="preserve">Grundsätze </w:t>
      </w:r>
      <w:r w:rsidRPr="00980A07">
        <w:rPr>
          <w:color w:val="000000"/>
          <w:lang w:val="de-DE"/>
        </w:rPr>
        <w:br/>
        <w:t xml:space="preserve"> </w:t>
      </w:r>
      <w:r w:rsidRPr="00980A07">
        <w:rPr>
          <w:color w:val="000000"/>
          <w:lang w:val="de-DE"/>
        </w:rPr>
        <w:br/>
        <w:t xml:space="preserve">Der Verkehr ist weltweit eine der Hauptquellen für Treibhausgasemissionen. In </w:t>
      </w:r>
      <w:r>
        <w:rPr>
          <w:color w:val="000000"/>
        </w:rPr>
        <w:t>der</w:t>
      </w:r>
      <w:r w:rsidRPr="00980A07">
        <w:rPr>
          <w:color w:val="000000"/>
          <w:lang w:val="de-DE"/>
        </w:rPr>
        <w:t xml:space="preserve"> Europäischen Union verursacht der Verkehr </w:t>
      </w:r>
      <w:hyperlink r:id="rId8">
        <w:r w:rsidRPr="00980A07">
          <w:rPr>
            <w:rStyle w:val="Hyperlink"/>
            <w:lang w:val="de-DE"/>
          </w:rPr>
          <w:t>mehr als ein Viertel</w:t>
        </w:r>
      </w:hyperlink>
      <w:r w:rsidRPr="00980A07">
        <w:rPr>
          <w:rStyle w:val="Hyperlink"/>
          <w:lang w:val="de-DE"/>
        </w:rPr>
        <w:t xml:space="preserve"> </w:t>
      </w:r>
      <w:r w:rsidRPr="00980A07">
        <w:rPr>
          <w:color w:val="000000"/>
          <w:lang w:val="de-DE"/>
        </w:rPr>
        <w:t xml:space="preserve">der gesamten Treibhausgasemissionen. In Spanien machten die mobilitätsbedingten Emissionen im Jahr 2019 </w:t>
      </w:r>
      <w:hyperlink r:id="rId9" w:history="1">
        <w:r w:rsidRPr="00980A07">
          <w:rPr>
            <w:rStyle w:val="Hyperlink"/>
            <w:lang w:val="de-DE"/>
          </w:rPr>
          <w:t>29 % der Gesamtemissionen</w:t>
        </w:r>
      </w:hyperlink>
      <w:r w:rsidRPr="00980A07">
        <w:rPr>
          <w:color w:val="000000"/>
          <w:lang w:val="de-DE"/>
        </w:rPr>
        <w:t xml:space="preserve"> aus, wobei der Verkehr der Sektor war, der die meisten Tr</w:t>
      </w:r>
      <w:r w:rsidRPr="00980A07">
        <w:rPr>
          <w:color w:val="000000"/>
          <w:lang w:val="de-DE"/>
        </w:rPr>
        <w:t>eibhausgasemissionen verursachte.</w:t>
      </w:r>
      <w:r w:rsidRPr="00980A07">
        <w:rPr>
          <w:color w:val="000000"/>
          <w:lang w:val="de-DE"/>
        </w:rPr>
        <w:br/>
        <w:t xml:space="preserve"> </w:t>
      </w:r>
      <w:r w:rsidRPr="00980A07">
        <w:rPr>
          <w:color w:val="000000"/>
          <w:lang w:val="de-DE"/>
        </w:rPr>
        <w:br/>
        <w:t>In diesem Zusammenhang sind die Auswirkungen des Flugverkehrs besonders schädlich. Neben dem Beitrag des Luftverkehrs zur globalen Erwärmung, der in einigen Studien mit</w:t>
      </w:r>
      <w:hyperlink r:id="rId10" w:history="1">
        <w:r w:rsidRPr="00980A07">
          <w:rPr>
            <w:rStyle w:val="Hyperlink"/>
            <w:lang w:val="de-DE"/>
          </w:rPr>
          <w:t xml:space="preserve"> 5 bis 8 %</w:t>
        </w:r>
      </w:hyperlink>
      <w:r w:rsidRPr="00980A07">
        <w:rPr>
          <w:color w:val="000000"/>
          <w:lang w:val="de-DE"/>
        </w:rPr>
        <w:t xml:space="preserve"> angegeben wird, verursacht der Luftverkeh</w:t>
      </w:r>
      <w:r w:rsidRPr="00980A07">
        <w:rPr>
          <w:color w:val="000000"/>
          <w:lang w:val="de-DE"/>
        </w:rPr>
        <w:t>r schwerwiegende Umweltprobleme (Abholzung von Wäldern, Zerstörung von Ökosystemen), soziale Probleme (Gesundheitsprobleme, Vertreibung von Gemeinschaften usw.) und wirtschaftliche Probleme (Steuervergünstigungen, versteckte Subventionen usw.).</w:t>
      </w:r>
      <w:r w:rsidRPr="00980A07">
        <w:rPr>
          <w:color w:val="000000"/>
          <w:lang w:val="de-DE"/>
        </w:rPr>
        <w:br/>
        <w:t xml:space="preserve"> </w:t>
      </w:r>
      <w:r w:rsidRPr="00980A07">
        <w:rPr>
          <w:color w:val="000000"/>
          <w:lang w:val="de-DE"/>
        </w:rPr>
        <w:br/>
        <w:t>Andererse</w:t>
      </w:r>
      <w:r w:rsidRPr="00980A07">
        <w:rPr>
          <w:color w:val="000000"/>
          <w:lang w:val="de-DE"/>
        </w:rPr>
        <w:t xml:space="preserve">its ist der Luftverkehr das Verkehrsmittel mit den höchsten Emissionen in Bezug auf Passagiere/km. Als Sozial- und Umweltorganisation ist sich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der Bedeutung der oben genannten Probleme bewusst und sieht es daher als notwendig an, dass</w:t>
      </w:r>
      <w:r w:rsidRPr="00980A07">
        <w:rPr>
          <w:color w:val="000000"/>
          <w:lang w:val="de-DE"/>
        </w:rPr>
        <w:t xml:space="preserve"> die Organisation die Auswirkungen des nationalen und internationalen Reiseverkehrs, die sich aus ihren Aktivitäten ergeben, so weit wie möglich reduziert. Zu diesem Zweck setzen wir uns für ein Mobilitätsmodell ein, bei dem einerseits die Anzahl der Reise</w:t>
      </w:r>
      <w:r w:rsidRPr="00980A07">
        <w:rPr>
          <w:color w:val="000000"/>
          <w:lang w:val="de-DE"/>
        </w:rPr>
        <w:t>n reduziert und andererseits den saubersten und nachhaltigsten Verkehrsmitteln der Vorzug gegeben wird.</w:t>
      </w:r>
      <w:r w:rsidRPr="00980A07">
        <w:rPr>
          <w:color w:val="000000"/>
          <w:lang w:val="de-DE"/>
        </w:rPr>
        <w:br/>
        <w:t xml:space="preserve"> </w:t>
      </w:r>
      <w:r w:rsidRPr="00980A07">
        <w:rPr>
          <w:color w:val="000000"/>
          <w:lang w:val="de-DE"/>
        </w:rPr>
        <w:br/>
        <w:t xml:space="preserve">Mit der Verabschiedung dieser Reiserichtlinie möchte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w:t>
      </w:r>
      <w:proofErr w:type="spellStart"/>
      <w:r w:rsidRPr="00980A07">
        <w:rPr>
          <w:color w:val="000000"/>
          <w:lang w:val="de-DE"/>
        </w:rPr>
        <w:t>proaktiv</w:t>
      </w:r>
      <w:proofErr w:type="spellEnd"/>
      <w:r w:rsidRPr="00980A07">
        <w:rPr>
          <w:color w:val="000000"/>
          <w:lang w:val="de-DE"/>
        </w:rPr>
        <w:t xml:space="preserve"> und transparent sein, um die mit der Mobilität seiner Mitarbeiter*</w:t>
      </w:r>
      <w:r w:rsidRPr="00980A07">
        <w:rPr>
          <w:color w:val="000000"/>
          <w:lang w:val="de-DE"/>
        </w:rPr>
        <w:t>innen und Aktivist*innen verbundenen Emissionen zu reduzieren. Darüber hinaus wollen wir durch die Umsetzung der in diesem Dokument enthaltenen Richtlinien dazu beitragen, ein gerechteres und nachhaltigeres Verkehrssystem aus sozialer, ökologischer und wir</w:t>
      </w:r>
      <w:r w:rsidRPr="00980A07">
        <w:rPr>
          <w:color w:val="000000"/>
          <w:lang w:val="de-DE"/>
        </w:rPr>
        <w:t>tschaftlicher Sicht zu schaffen.</w:t>
      </w:r>
      <w:r w:rsidRPr="00980A07">
        <w:rPr>
          <w:color w:val="000000"/>
          <w:lang w:val="de-DE"/>
        </w:rPr>
        <w:br/>
      </w:r>
      <w:r w:rsidRPr="00980A07">
        <w:rPr>
          <w:color w:val="000000"/>
          <w:lang w:val="de-DE"/>
        </w:rPr>
        <w:br/>
      </w:r>
      <w:r w:rsidRPr="00980A07">
        <w:rPr>
          <w:b/>
          <w:bCs/>
          <w:color w:val="000000"/>
          <w:lang w:val="de-DE"/>
        </w:rPr>
        <w:t>Unsere Verpflichtungen</w:t>
      </w:r>
      <w:r w:rsidRPr="00980A07">
        <w:rPr>
          <w:color w:val="000000"/>
          <w:lang w:val="de-DE"/>
        </w:rPr>
        <w:br/>
      </w:r>
      <w:r w:rsidRPr="00980A07">
        <w:rPr>
          <w:color w:val="000000"/>
          <w:lang w:val="de-DE"/>
        </w:rPr>
        <w:br/>
        <w:t xml:space="preserve">Mit der Herausgabe dieser Reiserichtlinie verpflichtet sich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zur:</w:t>
      </w:r>
      <w:r w:rsidRPr="00980A07">
        <w:rPr>
          <w:color w:val="000000"/>
          <w:lang w:val="de-DE"/>
        </w:rPr>
        <w:br/>
      </w:r>
    </w:p>
    <w:p w:rsidR="005F48FA" w:rsidRDefault="009D4893">
      <w:pPr>
        <w:numPr>
          <w:ilvl w:val="0"/>
          <w:numId w:val="1"/>
        </w:numPr>
      </w:pPr>
      <w:r w:rsidRPr="00980A07">
        <w:rPr>
          <w:color w:val="000000"/>
          <w:lang w:val="de-DE"/>
        </w:rPr>
        <w:t>Umsetzung einer langfristigen Strategie, die darauf abzielt, die mit den Reisen der Mitglieder verbundenen Emi</w:t>
      </w:r>
      <w:r w:rsidRPr="00980A07">
        <w:rPr>
          <w:color w:val="000000"/>
          <w:lang w:val="de-DE"/>
        </w:rPr>
        <w:t>ssionen deutlich und nachhaltig zu reduzieren.</w:t>
      </w:r>
    </w:p>
    <w:p w:rsidR="005F48FA" w:rsidRPr="00980A07" w:rsidRDefault="005F48FA">
      <w:pPr>
        <w:ind w:left="720"/>
        <w:rPr>
          <w:color w:val="000000"/>
          <w:lang w:val="de-DE"/>
        </w:rPr>
      </w:pPr>
    </w:p>
    <w:p w:rsidR="005F48FA" w:rsidRDefault="009D4893">
      <w:pPr>
        <w:numPr>
          <w:ilvl w:val="0"/>
          <w:numId w:val="1"/>
        </w:numPr>
      </w:pPr>
      <w:r w:rsidRPr="00980A07">
        <w:rPr>
          <w:color w:val="000000"/>
          <w:lang w:val="de-DE"/>
        </w:rPr>
        <w:t xml:space="preserve">Bereitstellung der notwendigen Instrumente, Verfahren und Ressourcen, um die Nutzung nachhaltiger Verkehrsmittel für ihre Reisen zu erleichtern, sowie zu systematischem/r </w:t>
      </w:r>
      <w:proofErr w:type="spellStart"/>
      <w:r w:rsidRPr="00980A07">
        <w:rPr>
          <w:color w:val="000000"/>
          <w:lang w:val="de-DE"/>
        </w:rPr>
        <w:t>Monitoring</w:t>
      </w:r>
      <w:proofErr w:type="spellEnd"/>
      <w:r w:rsidRPr="00980A07">
        <w:rPr>
          <w:color w:val="000000"/>
          <w:lang w:val="de-DE"/>
        </w:rPr>
        <w:t xml:space="preserve"> und Berechnung der durch d</w:t>
      </w:r>
      <w:r w:rsidRPr="00980A07">
        <w:rPr>
          <w:color w:val="000000"/>
          <w:lang w:val="de-DE"/>
        </w:rPr>
        <w:t>iese Reisen verursachten Emissionen.</w:t>
      </w:r>
    </w:p>
    <w:p w:rsidR="005F48FA" w:rsidRPr="00980A07" w:rsidRDefault="005F48FA">
      <w:pPr>
        <w:ind w:left="720"/>
        <w:rPr>
          <w:color w:val="000000"/>
          <w:lang w:val="de-DE"/>
        </w:rPr>
      </w:pPr>
    </w:p>
    <w:p w:rsidR="005F48FA" w:rsidRDefault="009D4893">
      <w:pPr>
        <w:numPr>
          <w:ilvl w:val="0"/>
          <w:numId w:val="1"/>
        </w:numPr>
      </w:pPr>
      <w:r w:rsidRPr="00980A07">
        <w:rPr>
          <w:color w:val="000000"/>
          <w:lang w:val="de-DE"/>
        </w:rPr>
        <w:t>Nutzung der Emissionsaufzeichnungen und der Analyse ihrer Entwicklung als Instrument zur Sensibilisierung der Mitarbeiter*innen und Aktivist*innen der Organisation für die sozialen und ökologischen Auswirkungen ihrer R</w:t>
      </w:r>
      <w:r w:rsidRPr="00980A07">
        <w:rPr>
          <w:color w:val="000000"/>
          <w:lang w:val="de-DE"/>
        </w:rPr>
        <w:t>eisen und als Motivationsinstrument zur schrittweisen Reduzierung dieser Auswirkungen.</w:t>
      </w:r>
    </w:p>
    <w:p w:rsidR="005F48FA" w:rsidRPr="00980A07" w:rsidRDefault="005F48FA">
      <w:pPr>
        <w:ind w:left="720"/>
        <w:rPr>
          <w:color w:val="000000"/>
          <w:lang w:val="de-DE"/>
        </w:rPr>
      </w:pPr>
    </w:p>
    <w:p w:rsidR="005F48FA" w:rsidRDefault="009D4893">
      <w:pPr>
        <w:numPr>
          <w:ilvl w:val="0"/>
          <w:numId w:val="1"/>
        </w:numPr>
      </w:pPr>
      <w:r w:rsidRPr="00980A07">
        <w:rPr>
          <w:color w:val="000000"/>
          <w:lang w:val="de-DE"/>
        </w:rPr>
        <w:t>Einnahme einer proaktiven Rolle bei der Sensibilisierung anderer Interessengruppen - sozialer, wirtschaftlicher, institutioneller usw. - für die sozio-ökologischen Ausw</w:t>
      </w:r>
      <w:r w:rsidRPr="00980A07">
        <w:rPr>
          <w:color w:val="000000"/>
          <w:lang w:val="de-DE"/>
        </w:rPr>
        <w:t>irkungen der umweltschädlichsten Verkehrsmittel, insbesondere des Luftverkehrs.</w:t>
      </w:r>
    </w:p>
    <w:p w:rsidR="005F48FA" w:rsidRPr="00980A07" w:rsidRDefault="005F48FA">
      <w:pPr>
        <w:ind w:left="720"/>
        <w:rPr>
          <w:color w:val="000000"/>
          <w:lang w:val="de-DE"/>
        </w:rPr>
      </w:pPr>
    </w:p>
    <w:p w:rsidR="005F48FA" w:rsidRDefault="009D4893">
      <w:pPr>
        <w:numPr>
          <w:ilvl w:val="0"/>
          <w:numId w:val="1"/>
        </w:numPr>
      </w:pPr>
      <w:proofErr w:type="gramStart"/>
      <w:r w:rsidRPr="00980A07">
        <w:rPr>
          <w:color w:val="000000"/>
          <w:lang w:val="de-DE"/>
        </w:rPr>
        <w:t>Aktiven</w:t>
      </w:r>
      <w:proofErr w:type="gramEnd"/>
      <w:r w:rsidRPr="00980A07">
        <w:rPr>
          <w:color w:val="000000"/>
          <w:lang w:val="de-DE"/>
        </w:rPr>
        <w:t xml:space="preserve"> Förderung einer nachhaltigen öffentlichen und privaten Verkehrspolitik, die darauf abzielt, die Anzahl der Fahrten zu reduzieren und den nachhaltigsten Verkehrsmitteln</w:t>
      </w:r>
      <w:r w:rsidRPr="00980A07">
        <w:rPr>
          <w:color w:val="000000"/>
          <w:lang w:val="de-DE"/>
        </w:rPr>
        <w:t xml:space="preserve"> den Vorrang zu geben.</w:t>
      </w:r>
    </w:p>
    <w:p w:rsidR="005F48FA" w:rsidRDefault="009D4893">
      <w:r w:rsidRPr="00980A07">
        <w:rPr>
          <w:color w:val="000000"/>
          <w:lang w:val="de-DE"/>
        </w:rPr>
        <w:br/>
      </w:r>
      <w:r w:rsidRPr="00980A07">
        <w:rPr>
          <w:color w:val="000000"/>
          <w:lang w:val="de-DE"/>
        </w:rPr>
        <w:br/>
      </w:r>
      <w:r w:rsidRPr="00980A07">
        <w:rPr>
          <w:b/>
          <w:bCs/>
          <w:color w:val="000000"/>
          <w:lang w:val="de-DE"/>
        </w:rPr>
        <w:t>Hauptaktionsbereiche für die Umsetzung der Reiserichtlinie</w:t>
      </w:r>
      <w:r w:rsidRPr="00980A07">
        <w:rPr>
          <w:color w:val="000000"/>
          <w:lang w:val="de-DE"/>
        </w:rPr>
        <w:br/>
      </w:r>
      <w:r w:rsidRPr="00980A07">
        <w:rPr>
          <w:color w:val="000000"/>
          <w:lang w:val="de-DE"/>
        </w:rPr>
        <w:br/>
        <w:t>Die Umsetzung der oben genannten Verpflichtungen wird sich auf die folgenden Aktionsbereiche konzentrieren:</w:t>
      </w:r>
      <w:r w:rsidRPr="00980A07">
        <w:rPr>
          <w:color w:val="000000"/>
          <w:lang w:val="de-DE"/>
        </w:rPr>
        <w:br/>
      </w:r>
      <w:r w:rsidRPr="00980A07">
        <w:rPr>
          <w:color w:val="000000"/>
          <w:lang w:val="de-DE"/>
        </w:rPr>
        <w:br/>
      </w:r>
      <w:r w:rsidRPr="00980A07">
        <w:rPr>
          <w:b/>
          <w:bCs/>
          <w:color w:val="000000"/>
          <w:lang w:val="de-DE"/>
        </w:rPr>
        <w:t xml:space="preserve">A. Planung und </w:t>
      </w:r>
      <w:proofErr w:type="spellStart"/>
      <w:r w:rsidRPr="00980A07">
        <w:rPr>
          <w:b/>
          <w:bCs/>
          <w:color w:val="000000"/>
          <w:lang w:val="de-DE"/>
        </w:rPr>
        <w:t>Monitoring</w:t>
      </w:r>
      <w:proofErr w:type="spellEnd"/>
      <w:r w:rsidRPr="00980A07">
        <w:rPr>
          <w:b/>
          <w:bCs/>
          <w:color w:val="000000"/>
          <w:lang w:val="de-DE"/>
        </w:rPr>
        <w:t xml:space="preserve"> der Verringerung von Reiseemissionen</w:t>
      </w:r>
      <w:r w:rsidRPr="00980A07">
        <w:rPr>
          <w:color w:val="000000"/>
          <w:lang w:val="de-DE"/>
        </w:rPr>
        <w:br/>
      </w:r>
    </w:p>
    <w:p w:rsidR="005F48FA" w:rsidRDefault="009D4893">
      <w:pPr>
        <w:numPr>
          <w:ilvl w:val="0"/>
          <w:numId w:val="2"/>
        </w:numPr>
      </w:pPr>
      <w:r w:rsidRPr="00980A07">
        <w:rPr>
          <w:color w:val="000000"/>
          <w:lang w:val="de-DE"/>
        </w:rPr>
        <w:t xml:space="preserve">Nach der Verabschiedung dieser Reiserichtlinie wird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eine Liste der im Jahr 2019 unternommenen Reisen und der damit verbundenen Emissionen erstellen. Diese Liste dient als Grundlage für die Festlegung entsprechender Emissionsreduktio</w:t>
      </w:r>
      <w:r w:rsidRPr="00980A07">
        <w:rPr>
          <w:color w:val="000000"/>
          <w:lang w:val="de-DE"/>
        </w:rPr>
        <w:t xml:space="preserve">nsziele. Aufgrund seiner Zuverlässigkeit wird </w:t>
      </w:r>
      <w:proofErr w:type="spellStart"/>
      <w:r w:rsidRPr="00980A07">
        <w:rPr>
          <w:color w:val="000000"/>
          <w:lang w:val="de-DE"/>
        </w:rPr>
        <w:t>Atmosfair</w:t>
      </w:r>
      <w:proofErr w:type="spellEnd"/>
      <w:r w:rsidRPr="00980A07">
        <w:rPr>
          <w:color w:val="000000"/>
          <w:lang w:val="de-DE"/>
        </w:rPr>
        <w:t xml:space="preserve"> (</w:t>
      </w:r>
      <w:hyperlink r:id="rId11">
        <w:r w:rsidRPr="00980A07">
          <w:rPr>
            <w:rStyle w:val="Hyperlink"/>
            <w:lang w:val="de-DE"/>
          </w:rPr>
          <w:t>www.atmosfair.de</w:t>
        </w:r>
      </w:hyperlink>
      <w:r w:rsidRPr="00980A07">
        <w:rPr>
          <w:rStyle w:val="Hyperlink"/>
          <w:lang w:val="de-DE"/>
        </w:rPr>
        <w:t>)</w:t>
      </w:r>
      <w:r w:rsidRPr="00980A07">
        <w:rPr>
          <w:color w:val="000000"/>
          <w:lang w:val="de-DE"/>
        </w:rPr>
        <w:t xml:space="preserve"> als Referenzrechner für die Ermittlung der bei jeder Reise entstehenden Emissionen empfohlen.</w:t>
      </w:r>
    </w:p>
    <w:p w:rsidR="005F48FA" w:rsidRPr="00980A07" w:rsidRDefault="005F48FA">
      <w:pPr>
        <w:ind w:left="720"/>
        <w:rPr>
          <w:color w:val="000000"/>
          <w:lang w:val="de-DE"/>
        </w:rPr>
      </w:pPr>
    </w:p>
    <w:p w:rsidR="005F48FA" w:rsidRDefault="009D4893">
      <w:pPr>
        <w:numPr>
          <w:ilvl w:val="0"/>
          <w:numId w:val="2"/>
        </w:numPr>
      </w:pP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wird ein Instrument zu</w:t>
      </w:r>
      <w:r w:rsidRPr="00980A07">
        <w:rPr>
          <w:color w:val="000000"/>
          <w:lang w:val="de-DE"/>
        </w:rPr>
        <w:t xml:space="preserve">r Sammlung von Daten über die Emissionen im Zusammenhang mit den Fahrten der Mitarbeiter*innen (Angestellte und Freiwillige) entwickeln. Dieses Tool wird dem gesamten Verband zur Verfügung stehen, um über die durch die Reisen der Organisation verursachten </w:t>
      </w:r>
      <w:r w:rsidRPr="00980A07">
        <w:rPr>
          <w:color w:val="000000"/>
          <w:lang w:val="de-DE"/>
        </w:rPr>
        <w:t xml:space="preserve">Emissionen zu informieren und zu sensibilisieren. Dabei verpflichtet sich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zur Wahrung der Vertraulichkeit in Bezug auf die Angaben zu den Personen, die die Reisen unternehmen.</w:t>
      </w:r>
    </w:p>
    <w:p w:rsidR="005F48FA" w:rsidRPr="00980A07" w:rsidRDefault="005F48FA">
      <w:pPr>
        <w:ind w:left="720"/>
        <w:rPr>
          <w:color w:val="000000"/>
          <w:lang w:val="de-DE"/>
        </w:rPr>
      </w:pPr>
    </w:p>
    <w:p w:rsidR="005F48FA" w:rsidRDefault="009D4893">
      <w:pPr>
        <w:numPr>
          <w:ilvl w:val="0"/>
          <w:numId w:val="2"/>
        </w:numPr>
      </w:pPr>
      <w:r w:rsidRPr="00980A07">
        <w:rPr>
          <w:color w:val="000000"/>
          <w:lang w:val="de-DE"/>
        </w:rPr>
        <w:t>Jährlich wird eine Bewertung der Emissionen des vergangen</w:t>
      </w:r>
      <w:r w:rsidRPr="00980A07">
        <w:rPr>
          <w:color w:val="000000"/>
          <w:lang w:val="de-DE"/>
        </w:rPr>
        <w:t>en Jahres durchgeführt und die entsprechenden Ziele für das folgende Jahr/die folgenden Jahre festgelegt.</w:t>
      </w:r>
    </w:p>
    <w:p w:rsidR="005F48FA" w:rsidRPr="00980A07" w:rsidRDefault="005F48FA">
      <w:pPr>
        <w:ind w:left="720"/>
        <w:rPr>
          <w:color w:val="000000"/>
          <w:lang w:val="de-DE"/>
        </w:rPr>
      </w:pPr>
    </w:p>
    <w:p w:rsidR="005F48FA" w:rsidRDefault="009D4893">
      <w:pPr>
        <w:numPr>
          <w:ilvl w:val="0"/>
          <w:numId w:val="2"/>
        </w:numPr>
      </w:pPr>
      <w:r w:rsidRPr="00980A07">
        <w:rPr>
          <w:color w:val="000000"/>
          <w:lang w:val="de-DE"/>
        </w:rPr>
        <w:t xml:space="preserve">Im Sinne der Transparenz wird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sowohl diese Reiserichtlinie als auch das Reise- und Emissionsinventar des Jahres 2019 sowie die </w:t>
      </w:r>
      <w:r w:rsidRPr="00980A07">
        <w:rPr>
          <w:color w:val="000000"/>
          <w:lang w:val="de-DE"/>
        </w:rPr>
        <w:t>in den Folgejahren entstandenen Emissionen veröffentlichen.</w:t>
      </w:r>
    </w:p>
    <w:p w:rsidR="005F48FA" w:rsidRDefault="009D4893">
      <w:r w:rsidRPr="00980A07">
        <w:rPr>
          <w:color w:val="000000"/>
          <w:lang w:val="de-DE"/>
        </w:rPr>
        <w:br/>
      </w:r>
      <w:r w:rsidRPr="00980A07">
        <w:rPr>
          <w:color w:val="000000"/>
          <w:lang w:val="de-DE"/>
        </w:rPr>
        <w:br/>
      </w:r>
      <w:r w:rsidRPr="00980A07">
        <w:rPr>
          <w:b/>
          <w:bCs/>
          <w:color w:val="000000"/>
          <w:lang w:val="de-DE"/>
        </w:rPr>
        <w:t>B. Einführung von Routinen, um die Emissionen unserer Reisen zu reduzieren</w:t>
      </w:r>
      <w:r w:rsidRPr="00980A07">
        <w:rPr>
          <w:color w:val="000000"/>
          <w:lang w:val="de-DE"/>
        </w:rPr>
        <w:br/>
      </w:r>
    </w:p>
    <w:p w:rsidR="005F48FA" w:rsidRDefault="009D4893">
      <w:pPr>
        <w:numPr>
          <w:ilvl w:val="0"/>
          <w:numId w:val="3"/>
        </w:numPr>
      </w:pPr>
      <w:r w:rsidRPr="00980A07">
        <w:rPr>
          <w:color w:val="000000"/>
          <w:lang w:val="de-DE"/>
        </w:rPr>
        <w:t>Vorrang haben Protestaktionen und Veranstaltungen (Sitzungen, Workshops, Seminare usw.), die ohne physische Anreise du</w:t>
      </w:r>
      <w:r w:rsidRPr="00980A07">
        <w:rPr>
          <w:color w:val="000000"/>
          <w:lang w:val="de-DE"/>
        </w:rPr>
        <w:t>rchgeführt werden können. In Fällen, in denen eine Reise unvermeidlich ist, werden Aktivitäten bevorzugt, an denen eine Teilnahme mit Landtransportmitteln möglich ist.</w:t>
      </w:r>
    </w:p>
    <w:p w:rsidR="005F48FA" w:rsidRPr="00980A07" w:rsidRDefault="005F48FA">
      <w:pPr>
        <w:ind w:left="720"/>
        <w:rPr>
          <w:color w:val="000000"/>
          <w:lang w:val="de-DE"/>
        </w:rPr>
      </w:pPr>
    </w:p>
    <w:p w:rsidR="005F48FA" w:rsidRDefault="009D4893">
      <w:pPr>
        <w:numPr>
          <w:ilvl w:val="0"/>
          <w:numId w:val="3"/>
        </w:numPr>
      </w:pPr>
      <w:r w:rsidRPr="00980A07">
        <w:rPr>
          <w:color w:val="000000"/>
          <w:lang w:val="de-DE"/>
        </w:rPr>
        <w:t>Bei allen Reisen innerhalb der spanischen Halbinsel werden Landtransporte eingesetzt.</w:t>
      </w:r>
    </w:p>
    <w:p w:rsidR="005F48FA" w:rsidRPr="00980A07" w:rsidRDefault="005F48FA">
      <w:pPr>
        <w:ind w:left="720"/>
        <w:rPr>
          <w:color w:val="000000"/>
          <w:lang w:val="de-DE"/>
        </w:rPr>
      </w:pPr>
    </w:p>
    <w:p w:rsidR="005F48FA" w:rsidRDefault="009D4893">
      <w:pPr>
        <w:numPr>
          <w:ilvl w:val="0"/>
          <w:numId w:val="3"/>
        </w:numPr>
      </w:pPr>
      <w:r w:rsidRPr="00980A07">
        <w:rPr>
          <w:color w:val="000000"/>
          <w:lang w:val="de-DE"/>
        </w:rPr>
        <w:t>Bei internationalen Reisen wird bei einer Reisedauer von bis zu 10 Stunden dem Landverkehr der Vorzug gegeben.</w:t>
      </w:r>
    </w:p>
    <w:p w:rsidR="005F48FA" w:rsidRPr="00980A07" w:rsidRDefault="005F48FA">
      <w:pPr>
        <w:ind w:left="720"/>
        <w:rPr>
          <w:color w:val="000000"/>
          <w:lang w:val="de-DE"/>
        </w:rPr>
      </w:pPr>
    </w:p>
    <w:p w:rsidR="005F48FA" w:rsidRDefault="009D4893">
      <w:pPr>
        <w:numPr>
          <w:ilvl w:val="0"/>
          <w:numId w:val="3"/>
        </w:numPr>
      </w:pPr>
      <w:r w:rsidRPr="00980A07">
        <w:rPr>
          <w:color w:val="000000"/>
          <w:lang w:val="de-DE"/>
        </w:rPr>
        <w:t>Bei allen internationalen Reisen innerhalb der Europäischen Union wird immer eine Alternative auf dem Landweg in Betracht gezogen, wobei zuminde</w:t>
      </w:r>
      <w:r w:rsidRPr="00980A07">
        <w:rPr>
          <w:color w:val="000000"/>
          <w:lang w:val="de-DE"/>
        </w:rPr>
        <w:t xml:space="preserve">st die folgenden </w:t>
      </w:r>
      <w:r w:rsidRPr="00980A07">
        <w:rPr>
          <w:color w:val="000000"/>
          <w:lang w:val="de-DE"/>
        </w:rPr>
        <w:lastRenderedPageBreak/>
        <w:t>Parameter der Alternativen Luft- (falls erforderlich) und Landverkehr verglichen werden: Preis, Emissionen, Dauer und Sicherheit der Reise.</w:t>
      </w:r>
    </w:p>
    <w:p w:rsidR="005F48FA" w:rsidRPr="00980A07" w:rsidRDefault="005F48FA">
      <w:pPr>
        <w:ind w:left="720"/>
        <w:rPr>
          <w:color w:val="000000"/>
          <w:lang w:val="de-DE"/>
        </w:rPr>
      </w:pPr>
    </w:p>
    <w:p w:rsidR="005F48FA" w:rsidRDefault="009D4893">
      <w:pPr>
        <w:numPr>
          <w:ilvl w:val="0"/>
          <w:numId w:val="3"/>
        </w:numPr>
      </w:pPr>
      <w:r w:rsidRPr="00980A07">
        <w:rPr>
          <w:color w:val="000000"/>
          <w:lang w:val="de-DE"/>
        </w:rPr>
        <w:t>Bei jeder Aktivität, die mit einer Flugreise verbunden ist, sollte die Notwendigkeit der Teilnahme gründlich geprüft werden: ob die angestrebten Ziele auch ohne Reise erreicht werden können, ob eine Online-Teilnahme möglich ist und ob der Nutzen für den Ei</w:t>
      </w:r>
      <w:r w:rsidRPr="00980A07">
        <w:rPr>
          <w:color w:val="000000"/>
          <w:lang w:val="de-DE"/>
        </w:rPr>
        <w:t xml:space="preserve">nzelnen und die Organisation die Nutzung von Flugreisen rechtfertigt (siehe </w:t>
      </w:r>
      <w:hyperlink r:id="rId12">
        <w:r w:rsidRPr="00980A07">
          <w:rPr>
            <w:color w:val="000000"/>
            <w:lang w:val="de-DE"/>
          </w:rPr>
          <w:t xml:space="preserve">Entscheidungsbaum für Flugreisen des Tyndall </w:t>
        </w:r>
        <w:proofErr w:type="spellStart"/>
        <w:r w:rsidRPr="00980A07">
          <w:rPr>
            <w:color w:val="000000"/>
            <w:lang w:val="de-DE"/>
          </w:rPr>
          <w:t>Centre</w:t>
        </w:r>
        <w:proofErr w:type="spellEnd"/>
      </w:hyperlink>
      <w:r w:rsidRPr="00980A07">
        <w:rPr>
          <w:color w:val="000000"/>
          <w:lang w:val="de-DE"/>
        </w:rPr>
        <w:t>).</w:t>
      </w:r>
    </w:p>
    <w:p w:rsidR="005F48FA" w:rsidRPr="00980A07" w:rsidRDefault="005F48FA">
      <w:pPr>
        <w:ind w:left="720"/>
        <w:rPr>
          <w:color w:val="000000"/>
          <w:lang w:val="de-DE"/>
        </w:rPr>
      </w:pPr>
    </w:p>
    <w:p w:rsidR="005F48FA" w:rsidRDefault="009D4893">
      <w:pPr>
        <w:numPr>
          <w:ilvl w:val="0"/>
          <w:numId w:val="3"/>
        </w:numPr>
      </w:pPr>
      <w:r w:rsidRPr="00980A07">
        <w:rPr>
          <w:color w:val="000000"/>
          <w:lang w:val="de-DE"/>
        </w:rPr>
        <w:t>Ist die Nutzung des Flugzeugs erforderlich, sollte die am wenig</w:t>
      </w:r>
      <w:r w:rsidRPr="00980A07">
        <w:rPr>
          <w:color w:val="000000"/>
          <w:lang w:val="de-DE"/>
        </w:rPr>
        <w:t xml:space="preserve">sten </w:t>
      </w:r>
      <w:proofErr w:type="spellStart"/>
      <w:r w:rsidRPr="00980A07">
        <w:rPr>
          <w:color w:val="000000"/>
          <w:lang w:val="de-DE"/>
        </w:rPr>
        <w:t>unnachhaltige</w:t>
      </w:r>
      <w:proofErr w:type="spellEnd"/>
      <w:r w:rsidRPr="00980A07">
        <w:rPr>
          <w:color w:val="000000"/>
          <w:lang w:val="de-DE"/>
        </w:rPr>
        <w:t xml:space="preserve"> Art des Fliegens gewählt werden, wobei die folgenden Leitlinien zu berücksichtigen sind:</w:t>
      </w:r>
    </w:p>
    <w:p w:rsidR="005F48FA" w:rsidRPr="00980A07" w:rsidRDefault="005F48FA">
      <w:pPr>
        <w:ind w:left="720"/>
        <w:rPr>
          <w:color w:val="000000"/>
          <w:lang w:val="de-DE"/>
        </w:rPr>
      </w:pPr>
    </w:p>
    <w:p w:rsidR="005F48FA" w:rsidRDefault="009D4893">
      <w:pPr>
        <w:numPr>
          <w:ilvl w:val="1"/>
          <w:numId w:val="3"/>
        </w:numPr>
      </w:pPr>
      <w:r w:rsidRPr="00980A07">
        <w:rPr>
          <w:color w:val="000000"/>
          <w:lang w:val="de-DE"/>
        </w:rPr>
        <w:t>Bevorzugen Sie Direktflüge, wenn sie verfügbar sind, auch wenn diese teurer sind.</w:t>
      </w:r>
    </w:p>
    <w:p w:rsidR="005F48FA" w:rsidRPr="00980A07" w:rsidRDefault="005F48FA">
      <w:pPr>
        <w:ind w:left="1080"/>
        <w:rPr>
          <w:color w:val="000000"/>
          <w:lang w:val="de-DE"/>
        </w:rPr>
      </w:pPr>
    </w:p>
    <w:p w:rsidR="005F48FA" w:rsidRDefault="009D4893">
      <w:pPr>
        <w:numPr>
          <w:ilvl w:val="1"/>
          <w:numId w:val="3"/>
        </w:numPr>
      </w:pPr>
      <w:r w:rsidRPr="00980A07">
        <w:rPr>
          <w:color w:val="000000"/>
          <w:lang w:val="de-DE"/>
        </w:rPr>
        <w:t xml:space="preserve">Wenn an dem gewählten Datum keine Direktflüge verfügbar sind, </w:t>
      </w:r>
      <w:r w:rsidRPr="00980A07">
        <w:rPr>
          <w:color w:val="000000"/>
          <w:lang w:val="de-DE"/>
        </w:rPr>
        <w:t>sollten Sie auf andere Termine ausweichen.</w:t>
      </w:r>
    </w:p>
    <w:p w:rsidR="005F48FA" w:rsidRPr="00980A07" w:rsidRDefault="005F48FA">
      <w:pPr>
        <w:ind w:left="1080"/>
        <w:rPr>
          <w:color w:val="000000"/>
          <w:lang w:val="de-DE"/>
        </w:rPr>
      </w:pPr>
    </w:p>
    <w:p w:rsidR="005F48FA" w:rsidRDefault="009D4893">
      <w:pPr>
        <w:numPr>
          <w:ilvl w:val="1"/>
          <w:numId w:val="3"/>
        </w:numPr>
      </w:pPr>
      <w:r w:rsidRPr="00980A07">
        <w:rPr>
          <w:color w:val="000000"/>
          <w:lang w:val="de-DE"/>
        </w:rPr>
        <w:t>Reisen Sie immer in der Economy Class, um die hohen Umweltbelastungen höherer Klassen zu vermeiden.</w:t>
      </w:r>
    </w:p>
    <w:p w:rsidR="005F48FA" w:rsidRPr="00980A07" w:rsidRDefault="005F48FA">
      <w:pPr>
        <w:ind w:left="1080"/>
        <w:rPr>
          <w:color w:val="000000"/>
          <w:lang w:val="de-DE"/>
        </w:rPr>
      </w:pPr>
    </w:p>
    <w:p w:rsidR="005F48FA" w:rsidRDefault="009D4893">
      <w:pPr>
        <w:numPr>
          <w:ilvl w:val="1"/>
          <w:numId w:val="3"/>
        </w:numPr>
      </w:pPr>
      <w:r w:rsidRPr="00980A07">
        <w:rPr>
          <w:color w:val="000000"/>
          <w:lang w:val="de-DE"/>
        </w:rPr>
        <w:t xml:space="preserve">Wählen Sie </w:t>
      </w:r>
      <w:hyperlink r:id="rId13">
        <w:r w:rsidRPr="00980A07">
          <w:rPr>
            <w:rStyle w:val="Hyperlink"/>
            <w:lang w:val="de-DE"/>
          </w:rPr>
          <w:t>Flugges</w:t>
        </w:r>
        <w:r w:rsidRPr="00980A07">
          <w:rPr>
            <w:rStyle w:val="Hyperlink"/>
            <w:lang w:val="de-DE"/>
          </w:rPr>
          <w:t>ellschaften mit geringerer Emissionsintensität</w:t>
        </w:r>
      </w:hyperlink>
      <w:r w:rsidRPr="00980A07">
        <w:rPr>
          <w:rStyle w:val="Hyperlink"/>
          <w:lang w:val="de-DE"/>
        </w:rPr>
        <w:t xml:space="preserve"> </w:t>
      </w:r>
      <w:r w:rsidRPr="00980A07">
        <w:rPr>
          <w:color w:val="000000"/>
          <w:lang w:val="de-DE"/>
        </w:rPr>
        <w:t>auf der Grundlage ihrer Effizienz.</w:t>
      </w:r>
    </w:p>
    <w:p w:rsidR="005F48FA" w:rsidRPr="00980A07" w:rsidRDefault="005F48FA">
      <w:pPr>
        <w:ind w:left="1080"/>
        <w:rPr>
          <w:color w:val="000000"/>
          <w:lang w:val="de-DE"/>
        </w:rPr>
      </w:pPr>
    </w:p>
    <w:p w:rsidR="005F48FA" w:rsidRDefault="009D4893">
      <w:pPr>
        <w:numPr>
          <w:ilvl w:val="1"/>
          <w:numId w:val="3"/>
        </w:numPr>
      </w:pPr>
      <w:r w:rsidRPr="00980A07">
        <w:rPr>
          <w:color w:val="000000"/>
          <w:lang w:val="de-DE"/>
        </w:rPr>
        <w:t xml:space="preserve">Vermeiden Sie kreatives </w:t>
      </w:r>
      <w:proofErr w:type="spellStart"/>
      <w:r w:rsidRPr="00980A07">
        <w:rPr>
          <w:color w:val="000000"/>
          <w:lang w:val="de-DE"/>
        </w:rPr>
        <w:t>Ticketing</w:t>
      </w:r>
      <w:proofErr w:type="spellEnd"/>
      <w:r>
        <w:rPr>
          <w:rStyle w:val="Funotenanker"/>
          <w:color w:val="000000"/>
          <w:lang w:val="en-GB"/>
        </w:rPr>
        <w:footnoteReference w:id="1"/>
      </w:r>
      <w:r w:rsidRPr="00980A07">
        <w:rPr>
          <w:color w:val="000000"/>
          <w:lang w:val="de-DE"/>
        </w:rPr>
        <w:t>, auch wenn dadurch die Flugpreise gesenkt werden, da dies die Emissionen pro Passagierkilometer exponentiell erhöht.</w:t>
      </w:r>
    </w:p>
    <w:p w:rsidR="005F48FA" w:rsidRPr="00980A07" w:rsidRDefault="005F48FA">
      <w:pPr>
        <w:ind w:left="1080"/>
        <w:rPr>
          <w:color w:val="000000"/>
          <w:lang w:val="de-DE"/>
        </w:rPr>
      </w:pPr>
    </w:p>
    <w:p w:rsidR="005F48FA" w:rsidRDefault="009D4893">
      <w:pPr>
        <w:numPr>
          <w:ilvl w:val="1"/>
          <w:numId w:val="3"/>
        </w:numPr>
      </w:pPr>
      <w:r w:rsidRPr="00980A07">
        <w:rPr>
          <w:color w:val="000000"/>
          <w:lang w:val="de-DE"/>
        </w:rPr>
        <w:t>Im Falle einer Reise</w:t>
      </w:r>
      <w:r w:rsidRPr="00980A07">
        <w:rPr>
          <w:color w:val="000000"/>
          <w:lang w:val="de-DE"/>
        </w:rPr>
        <w:t xml:space="preserve">, die von einer externen Einrichtung (einer Kampagne, einer gastgebenden Organisation, einem internationalen Verband oder Netzwerk, dem wir angehören...) übernommen wird, verhandeln wir mit dieser Einrichtung über die Möglichkeit, dass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w:t>
      </w:r>
      <w:r w:rsidRPr="00980A07">
        <w:rPr>
          <w:color w:val="000000"/>
          <w:lang w:val="de-DE"/>
        </w:rPr>
        <w:t>n</w:t>
      </w:r>
      <w:proofErr w:type="spellEnd"/>
      <w:r w:rsidRPr="00980A07">
        <w:rPr>
          <w:color w:val="000000"/>
          <w:lang w:val="de-DE"/>
        </w:rPr>
        <w:t xml:space="preserve"> die Differenz zwischen Flug- und Bahntarif übernimmt, wenn diese Einrichtung nicht bereit ist, die Zugfahrt zu übernehmen.</w:t>
      </w:r>
    </w:p>
    <w:p w:rsidR="005F48FA" w:rsidRPr="00980A07" w:rsidRDefault="005F48FA">
      <w:pPr>
        <w:ind w:left="1080"/>
        <w:rPr>
          <w:color w:val="000000"/>
          <w:lang w:val="de-DE"/>
        </w:rPr>
      </w:pPr>
    </w:p>
    <w:p w:rsidR="005F48FA" w:rsidRDefault="009D4893">
      <w:pPr>
        <w:suppressAutoHyphens/>
        <w:ind w:left="397" w:hanging="340"/>
      </w:pPr>
      <w:r w:rsidRPr="00980A07">
        <w:rPr>
          <w:b/>
          <w:bCs/>
          <w:color w:val="000000"/>
          <w:lang w:val="de-DE"/>
        </w:rPr>
        <w:t>C. Finanzierung</w:t>
      </w:r>
      <w:r w:rsidRPr="00980A07">
        <w:rPr>
          <w:color w:val="000000"/>
          <w:lang w:val="de-DE"/>
        </w:rPr>
        <w:br/>
      </w:r>
      <w:r w:rsidRPr="00980A07">
        <w:rPr>
          <w:color w:val="000000"/>
          <w:lang w:val="de-DE"/>
        </w:rPr>
        <w:br/>
        <w:t>Die in dieser Politik eingegangenen Verpflichtungen erfordern zwangsläufig die Bereitstellung von Mitteln zur Dec</w:t>
      </w:r>
      <w:r w:rsidRPr="00980A07">
        <w:rPr>
          <w:color w:val="000000"/>
          <w:lang w:val="de-DE"/>
        </w:rPr>
        <w:t>kung der Kosten, die sich aus ihrer Umsetzung ergeben. Die Organisation verpflichtet sich, im Jahreshaushalt Ausgaben vorzusehen, um den vorhersehbaren Anstieg der Beförderungskosten zu decken, einschließlich:</w:t>
      </w:r>
    </w:p>
    <w:p w:rsidR="005F48FA" w:rsidRPr="00980A07" w:rsidRDefault="005F48FA">
      <w:pPr>
        <w:suppressAutoHyphens/>
        <w:ind w:left="397" w:hanging="340"/>
        <w:rPr>
          <w:color w:val="000000"/>
          <w:lang w:val="de-DE"/>
        </w:rPr>
      </w:pPr>
    </w:p>
    <w:p w:rsidR="005F48FA" w:rsidRDefault="009D4893">
      <w:pPr>
        <w:numPr>
          <w:ilvl w:val="0"/>
          <w:numId w:val="4"/>
        </w:numPr>
        <w:suppressAutoHyphens/>
      </w:pPr>
      <w:r w:rsidRPr="00980A07">
        <w:rPr>
          <w:color w:val="000000"/>
          <w:lang w:val="de-DE"/>
        </w:rPr>
        <w:t>Die Kostendifferenz zwischen Zug- und Flugrei</w:t>
      </w:r>
      <w:r w:rsidRPr="00980A07">
        <w:rPr>
          <w:color w:val="000000"/>
          <w:lang w:val="de-DE"/>
        </w:rPr>
        <w:t xml:space="preserve">sen, im Falle einer von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finanzierten Reise.</w:t>
      </w:r>
      <w:r w:rsidRPr="00980A07">
        <w:rPr>
          <w:color w:val="000000"/>
          <w:lang w:val="de-DE"/>
        </w:rPr>
        <w:br/>
      </w:r>
    </w:p>
    <w:p w:rsidR="005F48FA" w:rsidRDefault="009D4893">
      <w:pPr>
        <w:numPr>
          <w:ilvl w:val="0"/>
          <w:numId w:val="4"/>
        </w:numPr>
        <w:suppressAutoHyphens/>
      </w:pPr>
      <w:r w:rsidRPr="00980A07">
        <w:rPr>
          <w:color w:val="000000"/>
          <w:lang w:val="de-DE"/>
        </w:rPr>
        <w:t>Die Kostendifferenz zwischen Zug- und Flugreise im Falle einer Reise, die teilweise von einer externen Einrichtung finanziert wird, die nur die Flugkosten übernimmt.</w:t>
      </w:r>
    </w:p>
    <w:p w:rsidR="005F48FA" w:rsidRPr="00980A07" w:rsidRDefault="005F48FA">
      <w:pPr>
        <w:suppressAutoHyphens/>
        <w:ind w:left="777"/>
        <w:rPr>
          <w:color w:val="000000"/>
          <w:lang w:val="de-DE"/>
        </w:rPr>
      </w:pPr>
    </w:p>
    <w:p w:rsidR="005F48FA" w:rsidRDefault="009D4893">
      <w:pPr>
        <w:numPr>
          <w:ilvl w:val="0"/>
          <w:numId w:val="4"/>
        </w:numPr>
        <w:suppressAutoHyphens/>
      </w:pPr>
      <w:r w:rsidRPr="00980A07">
        <w:rPr>
          <w:color w:val="000000"/>
          <w:lang w:val="de-DE"/>
        </w:rPr>
        <w:t>Die höheren Kosten, di</w:t>
      </w:r>
      <w:r w:rsidRPr="00980A07">
        <w:rPr>
          <w:color w:val="000000"/>
          <w:lang w:val="de-DE"/>
        </w:rPr>
        <w:t>e sich aus der Wahl eines Direktfluges ergeben, falls eine Flugreise erforderlich ist.</w:t>
      </w:r>
    </w:p>
    <w:p w:rsidR="005F48FA" w:rsidRPr="00980A07" w:rsidRDefault="005F48FA">
      <w:pPr>
        <w:suppressAutoHyphens/>
        <w:ind w:left="777"/>
        <w:rPr>
          <w:color w:val="000000"/>
          <w:lang w:val="de-DE"/>
        </w:rPr>
      </w:pPr>
    </w:p>
    <w:p w:rsidR="005F48FA" w:rsidRDefault="009D4893">
      <w:pPr>
        <w:suppressAutoHyphens/>
      </w:pPr>
      <w:r w:rsidRPr="00980A07">
        <w:rPr>
          <w:b/>
          <w:bCs/>
          <w:color w:val="000000"/>
          <w:lang w:val="de-DE"/>
        </w:rPr>
        <w:t>D. Aufbau einer Organisationskultur, die nachhaltiges Reisen fördert.</w:t>
      </w:r>
    </w:p>
    <w:p w:rsidR="005F48FA" w:rsidRPr="00980A07" w:rsidRDefault="005F48FA">
      <w:pPr>
        <w:suppressAutoHyphens/>
        <w:rPr>
          <w:color w:val="000000"/>
          <w:lang w:val="de-DE"/>
        </w:rPr>
      </w:pPr>
    </w:p>
    <w:p w:rsidR="005F48FA" w:rsidRDefault="009D4893">
      <w:pPr>
        <w:numPr>
          <w:ilvl w:val="0"/>
          <w:numId w:val="5"/>
        </w:numPr>
        <w:suppressAutoHyphens/>
      </w:pP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wird Aktivitäten</w:t>
      </w:r>
      <w:r w:rsidRPr="00980A07">
        <w:rPr>
          <w:color w:val="000000"/>
          <w:lang w:val="de-DE"/>
        </w:rPr>
        <w:t xml:space="preserve"> den Vorzug geben, die die Notwendigkeit von Reisen minimieren. Bei Aktivitäten, die zwangsläufig Reisen erfordern (Aktivist*innen, Referent*innen, Berater*innen usw.), werden die Richtlinien zur Minimierung der damit verbundenen Emissionen beachtet.</w:t>
      </w:r>
    </w:p>
    <w:p w:rsidR="005F48FA" w:rsidRPr="00980A07" w:rsidRDefault="005F48FA">
      <w:pPr>
        <w:suppressAutoHyphens/>
        <w:ind w:left="720"/>
        <w:rPr>
          <w:color w:val="000000"/>
          <w:lang w:val="de-DE"/>
        </w:rPr>
      </w:pPr>
    </w:p>
    <w:p w:rsidR="005F48FA" w:rsidRDefault="009D4893">
      <w:pPr>
        <w:numPr>
          <w:ilvl w:val="0"/>
          <w:numId w:val="5"/>
        </w:numPr>
        <w:suppressAutoHyphens/>
      </w:pPr>
      <w:r w:rsidRPr="00980A07">
        <w:rPr>
          <w:color w:val="000000"/>
          <w:lang w:val="de-DE"/>
        </w:rPr>
        <w:t>Um d</w:t>
      </w:r>
      <w:r w:rsidRPr="00980A07">
        <w:rPr>
          <w:color w:val="000000"/>
          <w:lang w:val="de-DE"/>
        </w:rPr>
        <w:t xml:space="preserve">ie Nutzung nachhaltiger Verkehrsmittel zu fördern, werden die in dieser Reiserichtlinie dargelegten Grundsätze und Verpflichtungen in die entsprechenden Arbeitsabläufe der Organisation integriert: Personalwesen (Abrechnung und Auszahlung von Reisestunden, </w:t>
      </w:r>
      <w:r w:rsidRPr="00980A07">
        <w:rPr>
          <w:color w:val="000000"/>
          <w:lang w:val="de-DE"/>
        </w:rPr>
        <w:t>Kostenübernahme usw.), Projektmanagement (Budgetierung, Teilnahme an / Organisation von Aktivitäten) usw.</w:t>
      </w:r>
    </w:p>
    <w:p w:rsidR="005F48FA" w:rsidRPr="00980A07" w:rsidRDefault="005F48FA">
      <w:pPr>
        <w:suppressAutoHyphens/>
        <w:ind w:left="720"/>
        <w:rPr>
          <w:color w:val="000000"/>
          <w:lang w:val="de-DE"/>
        </w:rPr>
      </w:pPr>
    </w:p>
    <w:p w:rsidR="005F48FA" w:rsidRDefault="009D4893">
      <w:pPr>
        <w:numPr>
          <w:ilvl w:val="0"/>
          <w:numId w:val="5"/>
        </w:numPr>
        <w:suppressAutoHyphens/>
      </w:pPr>
      <w:r w:rsidRPr="00980A07">
        <w:rPr>
          <w:color w:val="000000"/>
          <w:lang w:val="de-DE"/>
        </w:rPr>
        <w:t>Virtuelle Arbeit wird als Instrument zur Verringerung der Zahl der Reisen der Organisation gefördert werden. Zu diesem Zweck werden die Mitarbeiter*i</w:t>
      </w:r>
      <w:r w:rsidRPr="00980A07">
        <w:rPr>
          <w:color w:val="000000"/>
          <w:lang w:val="de-DE"/>
        </w:rPr>
        <w:t xml:space="preserve">nnen von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(Angestellte und Aktivist*innen) während des gesamten Prozesses begleitet und in Online-Kommunikationstools und Arbeitstechniken/Software geschult. Die Organisation wird auch so viel wie möglich in Technologien investieren, d</w:t>
      </w:r>
      <w:r w:rsidRPr="00980A07">
        <w:rPr>
          <w:color w:val="000000"/>
          <w:lang w:val="de-DE"/>
        </w:rPr>
        <w:t>ie diese Arbeitsweise erleichtern.</w:t>
      </w:r>
    </w:p>
    <w:p w:rsidR="005F48FA" w:rsidRPr="00980A07" w:rsidRDefault="005F48FA">
      <w:pPr>
        <w:suppressAutoHyphens/>
        <w:ind w:left="720"/>
        <w:rPr>
          <w:color w:val="000000"/>
          <w:lang w:val="de-DE"/>
        </w:rPr>
      </w:pPr>
    </w:p>
    <w:p w:rsidR="005F48FA" w:rsidRDefault="009D4893">
      <w:pPr>
        <w:numPr>
          <w:ilvl w:val="0"/>
          <w:numId w:val="5"/>
        </w:numPr>
        <w:suppressAutoHyphens/>
      </w:pPr>
      <w:r w:rsidRPr="00980A07">
        <w:rPr>
          <w:color w:val="000000"/>
          <w:lang w:val="de-DE"/>
        </w:rPr>
        <w:t>Die Nutzung spezialisierter Websites und Agenturen für Landreisen wird unter den Mitarbeiter*innen der Organisation gefördert. Die Organisation wird ihren Mitarbeiter*innen eine Datenbank mit Informationen über solche Ei</w:t>
      </w:r>
      <w:r w:rsidRPr="00980A07">
        <w:rPr>
          <w:color w:val="000000"/>
          <w:lang w:val="de-DE"/>
        </w:rPr>
        <w:t>nrichtungen zur Verfügung stellen, um die Buchung und den Kauf von Fahrkarten mit umweltfreundlichen Verkehrsmitteln zu erleichtern.</w:t>
      </w:r>
    </w:p>
    <w:p w:rsidR="005F48FA" w:rsidRPr="00980A07" w:rsidRDefault="005F48FA">
      <w:pPr>
        <w:suppressAutoHyphens/>
        <w:ind w:left="720"/>
        <w:rPr>
          <w:color w:val="000000"/>
          <w:lang w:val="de-DE"/>
        </w:rPr>
      </w:pPr>
    </w:p>
    <w:p w:rsidR="005F48FA" w:rsidRDefault="009D4893">
      <w:pPr>
        <w:numPr>
          <w:ilvl w:val="0"/>
          <w:numId w:val="5"/>
        </w:numPr>
        <w:suppressAutoHyphens/>
      </w:pPr>
      <w:r w:rsidRPr="00980A07">
        <w:rPr>
          <w:color w:val="000000"/>
          <w:lang w:val="de-DE"/>
        </w:rPr>
        <w:t>In den Organisationen und Netzwerken, in denen wir tätig sind, werden Diskussionen über die Wichtigkeit der Weiterentwickl</w:t>
      </w:r>
      <w:r w:rsidRPr="00980A07">
        <w:rPr>
          <w:color w:val="000000"/>
          <w:lang w:val="de-DE"/>
        </w:rPr>
        <w:t xml:space="preserve">ung von Reiserichtlinien und Möglichkeiten der Teilnahme an Sitzungen mit nachhaltigeren Verkehrsmitteln als dem Flugzeug, vorzugsweise dem Zug, geführt. Die Mitarbeiter*innen von </w:t>
      </w:r>
      <w:proofErr w:type="spellStart"/>
      <w:r w:rsidRPr="00980A07">
        <w:rPr>
          <w:color w:val="000000"/>
          <w:lang w:val="de-DE"/>
        </w:rPr>
        <w:t>Ecologistas</w:t>
      </w:r>
      <w:proofErr w:type="spellEnd"/>
      <w:r w:rsidRPr="00980A07">
        <w:rPr>
          <w:color w:val="000000"/>
          <w:lang w:val="de-DE"/>
        </w:rPr>
        <w:t xml:space="preserve"> en </w:t>
      </w:r>
      <w:proofErr w:type="spellStart"/>
      <w:r w:rsidRPr="00980A07">
        <w:rPr>
          <w:color w:val="000000"/>
          <w:lang w:val="de-DE"/>
        </w:rPr>
        <w:t>Acción</w:t>
      </w:r>
      <w:proofErr w:type="spellEnd"/>
      <w:r w:rsidRPr="00980A07">
        <w:rPr>
          <w:color w:val="000000"/>
          <w:lang w:val="de-DE"/>
        </w:rPr>
        <w:t xml:space="preserve"> haben die Möglichkeit, eine Entschädigung für die Fahr</w:t>
      </w:r>
      <w:r w:rsidRPr="00980A07">
        <w:rPr>
          <w:color w:val="000000"/>
          <w:lang w:val="de-DE"/>
        </w:rPr>
        <w:t>tzeit zu erhalten, wenn sie länger als einen Arbeitstag mit Landverkehrsmitteln unterwegs sind.</w:t>
      </w:r>
    </w:p>
    <w:sectPr w:rsidR="005F48FA" w:rsidSect="005F48FA">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893" w:rsidRDefault="009D4893" w:rsidP="005F48FA">
      <w:r>
        <w:separator/>
      </w:r>
    </w:p>
  </w:endnote>
  <w:endnote w:type="continuationSeparator" w:id="0">
    <w:p w:rsidR="009D4893" w:rsidRDefault="009D4893" w:rsidP="005F4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893" w:rsidRDefault="009D4893">
      <w:r>
        <w:separator/>
      </w:r>
    </w:p>
  </w:footnote>
  <w:footnote w:type="continuationSeparator" w:id="0">
    <w:p w:rsidR="009D4893" w:rsidRDefault="009D4893">
      <w:r>
        <w:continuationSeparator/>
      </w:r>
    </w:p>
  </w:footnote>
  <w:footnote w:id="1">
    <w:p w:rsidR="005F48FA" w:rsidRDefault="009D4893">
      <w:pPr>
        <w:pStyle w:val="FootnoteText"/>
      </w:pPr>
      <w:r>
        <w:footnoteRef/>
      </w:r>
      <w:r>
        <w:tab/>
        <w:t xml:space="preserve">Kreatives </w:t>
      </w:r>
      <w:proofErr w:type="spellStart"/>
      <w:r>
        <w:t>Ticketing</w:t>
      </w:r>
      <w:proofErr w:type="spellEnd"/>
      <w:r>
        <w:t xml:space="preserve"> ist eine Möglichkeit, günstigere Tarife zu erzielen, indem man - auf</w:t>
      </w:r>
      <w:r>
        <w:t xml:space="preserve"> unterschiedliche Weise - mehr Flugtickets kauft, als ursprünglich benötigt werden, und nur einen Teil davon letztendlich nutzt. Die zugrundeliegende Logik ist, dass Direktflüge und Flüge mit weniger Übernachtungen teurer sind; durch das Hinzufügen von Fah</w:t>
      </w:r>
      <w:r>
        <w:t>rten und Übernachtungen durch den Kauf zusätzlicher Tickets wird der Preis erheblich billiger, obwohl dies dazu beiträgt, Flüge mit nur wenig Passagieren zu generieren.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0E0"/>
    <w:multiLevelType w:val="multilevel"/>
    <w:tmpl w:val="15969A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BD25C39"/>
    <w:multiLevelType w:val="multilevel"/>
    <w:tmpl w:val="9B8276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D331253"/>
    <w:multiLevelType w:val="multilevel"/>
    <w:tmpl w:val="63EE0FB6"/>
    <w:lvl w:ilvl="0">
      <w:start w:val="1"/>
      <w:numFmt w:val="bullet"/>
      <w:lvlText w:val=""/>
      <w:lvlJc w:val="left"/>
      <w:pPr>
        <w:tabs>
          <w:tab w:val="num" w:pos="777"/>
        </w:tabs>
        <w:ind w:left="777" w:hanging="360"/>
      </w:pPr>
      <w:rPr>
        <w:rFonts w:ascii="Symbol" w:hAnsi="Symbol" w:cs="OpenSymbol" w:hint="default"/>
      </w:rPr>
    </w:lvl>
    <w:lvl w:ilvl="1">
      <w:start w:val="1"/>
      <w:numFmt w:val="bullet"/>
      <w:lvlText w:val="◦"/>
      <w:lvlJc w:val="left"/>
      <w:pPr>
        <w:tabs>
          <w:tab w:val="num" w:pos="1137"/>
        </w:tabs>
        <w:ind w:left="1137" w:hanging="360"/>
      </w:pPr>
      <w:rPr>
        <w:rFonts w:ascii="OpenSymbol" w:hAnsi="OpenSymbol" w:cs="OpenSymbol" w:hint="default"/>
      </w:rPr>
    </w:lvl>
    <w:lvl w:ilvl="2">
      <w:start w:val="1"/>
      <w:numFmt w:val="bullet"/>
      <w:lvlText w:val="▪"/>
      <w:lvlJc w:val="left"/>
      <w:pPr>
        <w:tabs>
          <w:tab w:val="num" w:pos="1497"/>
        </w:tabs>
        <w:ind w:left="1497" w:hanging="360"/>
      </w:pPr>
      <w:rPr>
        <w:rFonts w:ascii="OpenSymbol" w:hAnsi="OpenSymbol" w:cs="OpenSymbol" w:hint="default"/>
      </w:rPr>
    </w:lvl>
    <w:lvl w:ilvl="3">
      <w:start w:val="1"/>
      <w:numFmt w:val="bullet"/>
      <w:lvlText w:val=""/>
      <w:lvlJc w:val="left"/>
      <w:pPr>
        <w:tabs>
          <w:tab w:val="num" w:pos="1857"/>
        </w:tabs>
        <w:ind w:left="1857" w:hanging="360"/>
      </w:pPr>
      <w:rPr>
        <w:rFonts w:ascii="Symbol" w:hAnsi="Symbol" w:cs="OpenSymbol" w:hint="default"/>
      </w:rPr>
    </w:lvl>
    <w:lvl w:ilvl="4">
      <w:start w:val="1"/>
      <w:numFmt w:val="bullet"/>
      <w:lvlText w:val="◦"/>
      <w:lvlJc w:val="left"/>
      <w:pPr>
        <w:tabs>
          <w:tab w:val="num" w:pos="2217"/>
        </w:tabs>
        <w:ind w:left="2217" w:hanging="360"/>
      </w:pPr>
      <w:rPr>
        <w:rFonts w:ascii="OpenSymbol" w:hAnsi="OpenSymbol" w:cs="OpenSymbol" w:hint="default"/>
      </w:rPr>
    </w:lvl>
    <w:lvl w:ilvl="5">
      <w:start w:val="1"/>
      <w:numFmt w:val="bullet"/>
      <w:lvlText w:val="▪"/>
      <w:lvlJc w:val="left"/>
      <w:pPr>
        <w:tabs>
          <w:tab w:val="num" w:pos="2577"/>
        </w:tabs>
        <w:ind w:left="2577" w:hanging="360"/>
      </w:pPr>
      <w:rPr>
        <w:rFonts w:ascii="OpenSymbol" w:hAnsi="OpenSymbol" w:cs="OpenSymbol" w:hint="default"/>
      </w:rPr>
    </w:lvl>
    <w:lvl w:ilvl="6">
      <w:start w:val="1"/>
      <w:numFmt w:val="bullet"/>
      <w:lvlText w:val=""/>
      <w:lvlJc w:val="left"/>
      <w:pPr>
        <w:tabs>
          <w:tab w:val="num" w:pos="2937"/>
        </w:tabs>
        <w:ind w:left="2937" w:hanging="360"/>
      </w:pPr>
      <w:rPr>
        <w:rFonts w:ascii="Symbol" w:hAnsi="Symbol" w:cs="OpenSymbol" w:hint="default"/>
      </w:rPr>
    </w:lvl>
    <w:lvl w:ilvl="7">
      <w:start w:val="1"/>
      <w:numFmt w:val="bullet"/>
      <w:lvlText w:val="◦"/>
      <w:lvlJc w:val="left"/>
      <w:pPr>
        <w:tabs>
          <w:tab w:val="num" w:pos="3297"/>
        </w:tabs>
        <w:ind w:left="3297" w:hanging="360"/>
      </w:pPr>
      <w:rPr>
        <w:rFonts w:ascii="OpenSymbol" w:hAnsi="OpenSymbol" w:cs="OpenSymbol" w:hint="default"/>
      </w:rPr>
    </w:lvl>
    <w:lvl w:ilvl="8">
      <w:start w:val="1"/>
      <w:numFmt w:val="bullet"/>
      <w:lvlText w:val="▪"/>
      <w:lvlJc w:val="left"/>
      <w:pPr>
        <w:tabs>
          <w:tab w:val="num" w:pos="3657"/>
        </w:tabs>
        <w:ind w:left="3657" w:hanging="360"/>
      </w:pPr>
      <w:rPr>
        <w:rFonts w:ascii="OpenSymbol" w:hAnsi="OpenSymbol" w:cs="OpenSymbol" w:hint="default"/>
      </w:rPr>
    </w:lvl>
  </w:abstractNum>
  <w:abstractNum w:abstractNumId="3">
    <w:nsid w:val="4ECE08C7"/>
    <w:multiLevelType w:val="multilevel"/>
    <w:tmpl w:val="E6B083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75B1E4B"/>
    <w:multiLevelType w:val="multilevel"/>
    <w:tmpl w:val="AD2E55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B4C6AC8"/>
    <w:multiLevelType w:val="multilevel"/>
    <w:tmpl w:val="A0461D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5F48FA"/>
    <w:rsid w:val="005F48FA"/>
    <w:rsid w:val="00980A07"/>
    <w:rsid w:val="009D48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de-A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8F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sid w:val="005F48FA"/>
    <w:rPr>
      <w:rFonts w:ascii="OpenSymbol" w:eastAsia="OpenSymbol" w:hAnsi="OpenSymbol" w:cs="OpenSymbol"/>
    </w:rPr>
  </w:style>
  <w:style w:type="character" w:customStyle="1" w:styleId="Internetverknpfung">
    <w:name w:val="Internetverknüpfung"/>
    <w:rsid w:val="005F48FA"/>
    <w:rPr>
      <w:color w:val="000080"/>
      <w:u w:val="single"/>
    </w:rPr>
  </w:style>
  <w:style w:type="character" w:customStyle="1" w:styleId="BesuchteInternetverknpfung">
    <w:name w:val="Besuchte Internetverknüpfung"/>
    <w:rsid w:val="005F48FA"/>
    <w:rPr>
      <w:color w:val="800000"/>
      <w:u w:val="single"/>
    </w:rPr>
  </w:style>
  <w:style w:type="character" w:customStyle="1" w:styleId="Funotenanker">
    <w:name w:val="Fußnotenanker"/>
    <w:rsid w:val="005F48FA"/>
    <w:rPr>
      <w:vertAlign w:val="superscript"/>
    </w:rPr>
  </w:style>
  <w:style w:type="character" w:styleId="Funotenzeichen">
    <w:name w:val="footnote reference"/>
    <w:qFormat/>
    <w:rsid w:val="005F48FA"/>
  </w:style>
  <w:style w:type="character" w:customStyle="1" w:styleId="Endnotenanker">
    <w:name w:val="Endnotenanker"/>
    <w:rsid w:val="005F48FA"/>
    <w:rPr>
      <w:vertAlign w:val="superscript"/>
    </w:rPr>
  </w:style>
  <w:style w:type="character" w:styleId="Endnotenzeichen">
    <w:name w:val="endnote reference"/>
    <w:qFormat/>
    <w:rsid w:val="005F48FA"/>
  </w:style>
  <w:style w:type="paragraph" w:customStyle="1" w:styleId="berschrift">
    <w:name w:val="Überschrift"/>
    <w:basedOn w:val="Standard"/>
    <w:next w:val="Textkrper"/>
    <w:qFormat/>
    <w:rsid w:val="005F48FA"/>
    <w:pPr>
      <w:keepNext/>
      <w:spacing w:before="240" w:after="120"/>
    </w:pPr>
    <w:rPr>
      <w:rFonts w:ascii="Liberation Sans" w:eastAsia="Microsoft YaHei" w:hAnsi="Liberation Sans"/>
      <w:sz w:val="28"/>
      <w:szCs w:val="28"/>
    </w:rPr>
  </w:style>
  <w:style w:type="paragraph" w:styleId="Textkrper">
    <w:name w:val="Body Text"/>
    <w:basedOn w:val="Standard"/>
    <w:rsid w:val="005F48FA"/>
    <w:pPr>
      <w:spacing w:after="140" w:line="288" w:lineRule="auto"/>
    </w:pPr>
  </w:style>
  <w:style w:type="paragraph" w:styleId="Liste">
    <w:name w:val="List"/>
    <w:basedOn w:val="Textkrper"/>
    <w:rsid w:val="005F48FA"/>
  </w:style>
  <w:style w:type="paragraph" w:customStyle="1" w:styleId="Caption">
    <w:name w:val="Caption"/>
    <w:basedOn w:val="Standard"/>
    <w:qFormat/>
    <w:rsid w:val="005F48FA"/>
    <w:pPr>
      <w:suppressLineNumbers/>
      <w:spacing w:before="120" w:after="120"/>
    </w:pPr>
    <w:rPr>
      <w:i/>
      <w:iCs/>
    </w:rPr>
  </w:style>
  <w:style w:type="paragraph" w:customStyle="1" w:styleId="Verzeichnis">
    <w:name w:val="Verzeichnis"/>
    <w:basedOn w:val="Standard"/>
    <w:qFormat/>
    <w:rsid w:val="005F48FA"/>
    <w:pPr>
      <w:suppressLineNumbers/>
    </w:pPr>
  </w:style>
  <w:style w:type="paragraph" w:customStyle="1" w:styleId="FootnoteText">
    <w:name w:val="Footnote Text"/>
    <w:basedOn w:val="Standard"/>
    <w:rsid w:val="005F48FA"/>
    <w:pPr>
      <w:suppressLineNumbers/>
      <w:ind w:left="339" w:hanging="339"/>
    </w:pPr>
    <w:rPr>
      <w:sz w:val="20"/>
      <w:szCs w:val="20"/>
    </w:rPr>
  </w:style>
  <w:style w:type="character" w:styleId="Hyperlink">
    <w:name w:val="Hyperlink"/>
    <w:basedOn w:val="Absatz-Standardschriftart"/>
    <w:uiPriority w:val="99"/>
    <w:unhideWhenUsed/>
    <w:rsid w:val="00980A0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ea.europa.eu/de/themes/transport/intro" TargetMode="External"/><Relationship Id="rId13" Type="http://schemas.openxmlformats.org/officeDocument/2006/relationships/hyperlink" Target="https://www.atmosfair.de/en/air_travel_and_climate/atmosfair_airline_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yndall.ac.uk/about/travel-strate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mosfai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weltbundesamt.de/publikationen/what-matters-2-2019-aviation" TargetMode="External"/><Relationship Id="rId4" Type="http://schemas.openxmlformats.org/officeDocument/2006/relationships/settings" Target="settings.xml"/><Relationship Id="rId9" Type="http://schemas.openxmlformats.org/officeDocument/2006/relationships/hyperlink" Target="https://tyndall.ac.uk/about/travel-strategy/"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C8938-56A1-428C-BADA-F583C6B6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9135</Characters>
  <Application>Microsoft Office Word</Application>
  <DocSecurity>0</DocSecurity>
  <Lines>76</Lines>
  <Paragraphs>21</Paragraphs>
  <ScaleCrop>false</ScaleCrop>
  <Company>TU Wien - Studentenversion</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Michaela</cp:lastModifiedBy>
  <cp:revision>3</cp:revision>
  <dcterms:created xsi:type="dcterms:W3CDTF">2022-01-14T10:27:00Z</dcterms:created>
  <dcterms:modified xsi:type="dcterms:W3CDTF">2022-01-14T09:38:00Z</dcterms:modified>
  <dc:language>de-AT</dc:language>
</cp:coreProperties>
</file>